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eastAsia="ru-RU"/>
        </w:rPr>
        <w:t xml:space="preserve">ЛЕК </w:t>
      </w:r>
      <w:r>
        <w:rPr>
          <w:rFonts w:ascii="Times New Roman" w:eastAsia="Times New Roman" w:hAnsi="Times New Roman" w:cs="Times New Roman"/>
          <w:color w:val="000000"/>
          <w:sz w:val="28"/>
          <w:szCs w:val="28"/>
          <w:lang w:eastAsia="ru-RU"/>
        </w:rPr>
        <w:t>7</w:t>
      </w:r>
      <w:bookmarkStart w:id="0" w:name="_GoBack"/>
      <w:bookmarkEnd w:id="0"/>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Calibri" w:eastAsia="Times New Roman" w:hAnsi="Calibri" w:cs="Calibri"/>
          <w:color w:val="000000"/>
          <w:lang w:val="kk-KZ" w:eastAsia="ru-RU"/>
        </w:rPr>
        <w:t> </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b/>
          <w:bCs/>
          <w:color w:val="000000"/>
          <w:sz w:val="28"/>
          <w:szCs w:val="28"/>
          <w:lang w:val="kk-KZ" w:eastAsia="ru-RU"/>
        </w:rPr>
        <w:t>Жылу энергиясы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b/>
          <w:bCs/>
          <w:color w:val="000000"/>
          <w:sz w:val="28"/>
          <w:szCs w:val="28"/>
          <w:lang w:val="kk-KZ" w:eastAsia="ru-RU"/>
        </w:rPr>
        <w:t> </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Жылу тасымалдағыш заттар, жылу көзінен тұтынушыға жылу жеткізуге қызметін атқарады. Жылу тасымалдағыш заттар бірқатар арнайы техникалық талаптарға сай ұсынылады. Жылу тасымалдағыштар жылу көзінен тұтынушыға жылу энергиясын тасымалдау үшін барынша ыңғайлы болуға тиіс, жылу сыйымдылықты және тығыз, бұл ретте ең төменгі тұтқырлығы болуы тиіс. Жылу тасымалдағыштардың Жылуды жеткізу және бұру процесінде жылу беру коэффициентінің жоғары мәндерімен  қамтамасыз етілуі тиіс.</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Бұл талапты орындау жылу алмасу аппараттары бетінің ауданын азайтуға, сайып келгенде, олардың құнын н пайдалану шығындарын төмендетуге мүмкіндік береді. Жылу тасымалдағыштар жылуды қажетті температуралық деңгейде жеткізуге  мүмкіндік беруі тиіс. Жылу тасымалдағыштардың жұмыс қысымы мүмкіндігінше атмосфералыққа жақын болуы тиіс. Жылу тасымалдағыштар  термиялық тұрақты, салыстырмалы түрде арзан және қол жетімді болуы тиіс. Негізгі жылу тасымалдағыштарға мынадай заттар жатады: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Су әсіресе жылыту үшін жылу тасымалдағыш ретінде кеңінен қолданылады. Суды жылу тасымалдағыш ретіндегі артықшылығына - оның жоғары тығыздығын, меншікті жылу сыйымдылығын, салыстырмалы төмен тұтқырлығын, жоғары маңызы бар қаланың жылу беру коэффициентін, төмен химиялық белсенділігін және қол жетімділік мүмкіндігін, температуралық деңгейін реттеуін жатқызуға болады. Судың кемшілігі температураның шектеулі жоғарғы деңгейі болып табылады (әдетте пайдаланылатын өндірісте 150°С температураға дейін) болып табылады. Суды жылыту ЖЭО және қазандықтың арнайы су жылытатын қазандықты қыздыру қондырғыларында жүзеге асырылады. Ыстық су, әдетте, құбыр жолдар бойынша 20 км дейінгі арақашықтыққа тасымалдайды. Бұл ретте жақсы жылуоқшаулағыш құбырдағы судың температурасының төмендеуі 1 км – де 1°С - тан аспайды.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Су буы өндірістік мақсаттар үшін ең кең тараған жылу тасымалдағыш. Оның артықшылықтары жоғары жылу булану, судың қайнау және конденсация кезінде жылу беру коэффициентінің жоғары мәндері, жылу тұтынатын жабдықтардың арқасында бу мүмкіндігін ұстап тұру режимі, конденсация кезіндегі тұрақты температура, қол жетімділігі болып табылады. Оның негізгі кемшілігі - температураның шектеулі жоғарғы шегі. Қаныққан будың температурасын арттыру үшін қысымды айтарлықтай арттыру қажет.</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Мысалы, қаныққан будың температурасы 120°С болса, абсолюттік қысымы 0,2 МПа, қысымы 0,5 Мпа болса, температурасы 152°С, қысымы 1 МПа, температурасы 180° С-ға сәйкес келеді. Бу әдетте, 5 км дейінгі қашықтыққа жүзеге асырады.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lastRenderedPageBreak/>
        <w:t>Ыстық ауаны материалдарды кептіру үшін өндіріс технологиясында пайдаланады, ол үшін материалға жылуды жеткізу және сұйық тозаң жайылған беттен буланған ылғалды жеткізге қызмет етеді.</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Жылу энергетикалық ресурстарын пайдаланудағы тиімсіздік себептері және энергия үнемдеудiң жолы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Электр энергетикасындағы маңызды стратегиялық позициялардың бірі ретінде  220, 500 және 1150 кВ ЛЭП және ПС жоғары  кернеу класстарының құрамына кіретін Ұлттық энергетикалық желі (ҰЭЖ ҚР) орын алады. Осы желi (ҚР БЭЖ) Қазақстанның электр стансаларының Бiртұтас электр-энергетикалық жүйеге бiрiктiруiн қамтамасыз ететді және ҚР – ның БЭЖ-сінің  ТМД және Балтық энергия біріктіруші елдерінің құрамымен параллель жұмыс атқаруымен қамтамасыз етеді ҚР-ның ҰЭЖ АҚ «KEGOC» рөліндегі орнын есептегенде 1999 жылдан бастап  «Қазақстанның ҰЭЖ-ін жаңғырту» жобасын жүзеге асырады.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АӨК (агроөнеркәсiптiк кешен) ҚР-ның  ірі энергия ресурстарын тұтынушыларының бірі және энегия үнемдеудің үлкен қорына ие (-40 %). АӨК бойынша өндірістік қажеттілік мақсатында Қазақтан 15 %  жылу энергетикалық ресурстарын жұмсайды.  олардың ішінде электр энергиясы 30 %, жылу - 15 %, қазандық-пеш отыны - 55 % - ды құрайды.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Жылу энергетикалық ресурстарын пайдаланудағы негізгі тиімсіздік себептері.</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1. АӨК шаруашылық жүйесінде энергия  ресурстарын ұтымды пайдалануды және үнемдi жұмсауды қамтамасыз ететін пәрменді тетіктердің жоқтығы; Жылу эәне электр энергиясының қолданыстағы шығын мөлшері  ғылыми және техникалық-экономикалық дәлелдеусіз орнатылған, олар статикалық және энергия ресурстарын ұтымды пайдалануға мүмкiндiк туғызбайды.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2. Техникалық қызмет көрсету мәселесінің күшеюі, орталықтандырылған жүйенiң техникалық қамтамасыз етуінің төмендеуімен байланысты жөңдеу мен энергия жабдықтың қызмет ету.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3. Екінші реттік және ресурстардың жергілікті түрінің жеткілікті қолданылмауы.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4. Ауыл шаруашылық өнімдерін сақтау мен қайта өңдеуде үлкен дәрежедегі шығындар.</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5. Республикада өзіндік дамыған өндірістік өнеркәсіпте  энергетикалық қаражаттардың, энергия үнемдеу құрылғылары мен құралдарының жоқтығы: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6. Энергия үнемдеу жүйесінің, үйлестiрiлген ғылыми - мақсатты бағдарламалардың жоқтығы, ғылыми ұжымдардағы бытыраңқылық,  олардың бағыттарының тарлығы.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7. Энергия пайдаланудың тиімділігі бойынша ғылыми кадрлардайындаудың жеткіліксіз жүргізілуі және тиiстi атқарылатын жұмыстардың тақырыпттарының үйлесімсіздігі</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Жақын уақыттағы АӨК-нде энергия үнемдеудің негізгі бағыттары төмендегідей болып табылады: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lastRenderedPageBreak/>
        <w:t>1.Ұйымдық – экономикалық және энергия үнемдеу бойынша нормативтiк - құқықтық шараларды дайындау мен жүзеге асыру, отын және энергия шығындарының  ғылыми дәлелденген мөлшерін сақтау;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2. ЖЭР-ның барлық түрінің есептеу жүйесiн ұйымдастыру;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3. Қазандықтағы энергия үнемдеу;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4. Ғимаратты жылумен жабдықтау жүйесіндегі энергия үнемдеу;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5. БЭР қолданылуы;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6. Реттелетiн электр қозғалтқыш;</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7. Электр жарығының жетiлдiрілуi;</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8. Биоэнергиялық қондырғыларды әзiрлеу, өндiрiс қалдықтарын пайдалану;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9. Энергиямен қамтамасыз етуде дәстүрлі емес көздерді пайдалану.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10. Өндірістік, құрылыс өндiрiстік қайта өңдеулердің құрылымдық өзгерісі, отын-энергия түтынатын құрылғыларды тиімді пайдалану мен ауыл шаруашылық өнімдерін қайта өңдеу мен сақтау;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11. Жаңа энергия үнемдеу технологиялары;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12. Қайта құру және энергия үнемдеу, жоғары өнiмдi технологиялар, қазiргi құрылыс құралымдарының және инженерлiк жабдықтардың.  енгiзуiмен жылыжайды қайта құру және жаңғырту;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13. Энергиямен қамтамасыз етудің  сенімділігін арттыру мен отын және энергия шығындарын төмендетумен байланысты шаралар жүргізу;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14. Жылжымалы және стационарлық процестерде газ тәрiздi моторлық отындарды ауыстыру газ тәрiздi жылжымалы;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15. АӨК –нің аумағында энергия үнемдеу бойынша кадрлық мамандармен қамтамасыз ету.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Қорыта келгенде, энергия үнемдеу резервтері ұйымдық-техникалық шараларды өткізу. ысырапшылықтың түзілуін жою, ауылшаруашылық техника жұмыстарының үнемдiлiгiн жоғарылату мақсатындағы технологиялық процесстермен ұйымдастырылады.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Маңызды бағыт – энергия ресурстарын пайдалы пайдалану коэффициентін (КПП) өсіру: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энергиятасымалдаушылардың құрылымын жақсарту, соның iшiнде газдандыру сапасын жоғарылату және электрлендiру;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жылу жинайтын қондырғылардың техникалық дәрежесін және ПЭК-ін  жоғарылату;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жылу жүйесіндегі шығынды қысқарту;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реттеу жұмыстарындағы шығынды қысқарту (жылу техникалық жүйесінің жұмыс режимін автоматтандыру);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жылу сорғыларының көмегімен төмен кернеулі жылуды пайдалану, фермалардан шыққан шығарылымдарды пайдаға асыру;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cу электр ресурстарын пайдалану.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Энергия пайдалану тиімділігін жоғарылатудың бірден бір негізгі жолы (энергетикалық жүйелердiң жүктемелер кестесiнiң теңестірілуі) тұтынудың режiмiн ұтымды ету және ғылыми дәлелденген мөлшерлеудi енгiзу.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lastRenderedPageBreak/>
        <w:t>Электр энергиясын ұтымды пайдаланудағы негізгі шаралар төменде көрсетілген: </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1. Электр энегргиясын есептеу және оның параметрін бақылау;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2. Электр энегргиясының шығындарын мөлшерлеу;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3. Тұтынушылар жүктемесінің кестесін реттеу;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4. Электр қозғалтқыштың жұмыс режiмi жолымен және оларды автоматтандыруды және белгiленген қуатты пайдалануды жақсарту;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5.  Электр энегргиясы шығындары мен халықты арасына түсiндiру жұмысын бақылау.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Жарық техникалық қондырғылар барлық электр энергиясчының 13-14 '/"о жұмсайды, сондықтан мұндағы үнемділік – АӨК үшін ғана маңызды міндет емес.</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Ол үшін жарықтың ең үнемді көздерін таңдау қажет, шамның жарық ағынын тиімді пайдаланудың коэффициентін арттыру үшін ғимараттың бетінен шағылу коэффициентiнiң көбейтуге жол ашу қажет, сонымен қатар табиғи және жасанды жарықтандыруды пайдалану, қажет болған жағдайда жеке бөлімшелерді ажырату немесе оларға жарықтандыруды реттеу жұмыстарын жүргізудің мүмкіншілігі, қажетті қызмет көрсету (ауыстыру, тазалау), шамдарды тиімді орналастыру қажет.</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Ең тиімді тәсіл жоғары жарық беру көздерін қолдану арқылы шам қуатын кеміту. Газразрядты шам осы жағдайда ең орынды аспап болып табылады. О Ол үшін берілген ғимаратқа жүргізілген жұмыстар параметрлерінін талаптарын орындау қажет (яғни спектрлік құраммен, жарықтық, жарық ағынының бойымен және т.б. қ).</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Тиiстi энергетикалық қорек сұлбаларын жетілдіру және толық мерзімді немесе жартылай қосу және сөндiруге мүмкіндік беретін  басқару жүйесi қажет.  </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Электр қозғағыш энергия үнемдеудің мына жолдарын ұсынады: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1. Машинаны дұрыс пайдалану (кескiш құралдарды мерзiмдi майлау, реттеу, ұштау және тағы басқалар);</w:t>
      </w:r>
    </w:p>
    <w:p w:rsidR="003C127E" w:rsidRDefault="003C127E" w:rsidP="003C127E">
      <w:pPr>
        <w:spacing w:after="0" w:line="240" w:lineRule="auto"/>
        <w:ind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2. Машина, </w:t>
      </w:r>
      <w:proofErr w:type="spellStart"/>
      <w:r>
        <w:rPr>
          <w:rFonts w:ascii="Times New Roman" w:eastAsia="Times New Roman" w:hAnsi="Times New Roman" w:cs="Times New Roman"/>
          <w:color w:val="000000"/>
          <w:sz w:val="28"/>
          <w:szCs w:val="28"/>
          <w:lang w:eastAsia="ru-RU"/>
        </w:rPr>
        <w:t>тасымалдауыштар</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станокт</w:t>
      </w:r>
      <w:proofErr w:type="gramStart"/>
      <w:r>
        <w:rPr>
          <w:rFonts w:ascii="Times New Roman" w:eastAsia="Times New Roman" w:hAnsi="Times New Roman" w:cs="Times New Roman"/>
          <w:color w:val="000000"/>
          <w:sz w:val="28"/>
          <w:szCs w:val="28"/>
          <w:lang w:eastAsia="ru-RU"/>
        </w:rPr>
        <w:t>i</w:t>
      </w:r>
      <w:proofErr w:type="spellEnd"/>
      <w:proofErr w:type="gram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толығымен</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жүктеу</w:t>
      </w:r>
      <w:proofErr w:type="spellEnd"/>
      <w:r>
        <w:rPr>
          <w:rFonts w:ascii="Times New Roman" w:eastAsia="Times New Roman" w:hAnsi="Times New Roman" w:cs="Times New Roman"/>
          <w:color w:val="000000"/>
          <w:sz w:val="28"/>
          <w:szCs w:val="28"/>
          <w:lang w:eastAsia="ru-RU"/>
        </w:rPr>
        <w:t>;</w:t>
      </w:r>
    </w:p>
    <w:p w:rsidR="003C127E" w:rsidRDefault="003C127E" w:rsidP="003C127E">
      <w:pPr>
        <w:spacing w:after="0" w:line="240" w:lineRule="auto"/>
        <w:ind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3. Машина</w:t>
      </w:r>
      <w:r>
        <w:rPr>
          <w:rFonts w:ascii="Times New Roman" w:eastAsia="Times New Roman" w:hAnsi="Times New Roman" w:cs="Times New Roman"/>
          <w:color w:val="000000"/>
          <w:sz w:val="28"/>
          <w:szCs w:val="28"/>
          <w:lang w:val="kk-KZ" w:eastAsia="ru-RU"/>
        </w:rPr>
        <w:t>ның</w:t>
      </w:r>
      <w:r>
        <w:rPr>
          <w:rFonts w:ascii="Times New Roman" w:eastAsia="Times New Roman" w:hAnsi="Times New Roman" w:cs="Times New Roman"/>
          <w:color w:val="000000"/>
          <w:sz w:val="28"/>
          <w:szCs w:val="28"/>
          <w:lang w:eastAsia="ru-RU"/>
        </w:rPr>
        <w:t> </w:t>
      </w:r>
      <w:proofErr w:type="gramStart"/>
      <w:r>
        <w:rPr>
          <w:rFonts w:ascii="Times New Roman" w:eastAsia="Times New Roman" w:hAnsi="Times New Roman" w:cs="Times New Roman"/>
          <w:color w:val="000000"/>
          <w:sz w:val="28"/>
          <w:szCs w:val="28"/>
          <w:lang w:eastAsia="ru-RU"/>
        </w:rPr>
        <w:t>бос</w:t>
      </w:r>
      <w:proofErr w:type="gram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жүрiс</w:t>
      </w:r>
      <w:proofErr w:type="spellEnd"/>
      <w:r>
        <w:rPr>
          <w:rFonts w:ascii="Times New Roman" w:eastAsia="Times New Roman" w:hAnsi="Times New Roman" w:cs="Times New Roman"/>
          <w:color w:val="000000"/>
          <w:sz w:val="28"/>
          <w:szCs w:val="28"/>
          <w:lang w:val="kk-KZ" w:eastAsia="ru-RU"/>
        </w:rPr>
        <w:t>ін</w:t>
      </w:r>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шығару</w:t>
      </w:r>
      <w:proofErr w:type="spellEnd"/>
      <w:r>
        <w:rPr>
          <w:rFonts w:ascii="Times New Roman" w:eastAsia="Times New Roman" w:hAnsi="Times New Roman" w:cs="Times New Roman"/>
          <w:color w:val="000000"/>
          <w:sz w:val="28"/>
          <w:szCs w:val="28"/>
          <w:lang w:eastAsia="ru-RU"/>
        </w:rPr>
        <w:t>;</w:t>
      </w:r>
    </w:p>
    <w:p w:rsidR="003C127E" w:rsidRDefault="003C127E" w:rsidP="003C127E">
      <w:pPr>
        <w:spacing w:after="0" w:line="240" w:lineRule="auto"/>
        <w:ind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 xml:space="preserve">4. Электр </w:t>
      </w:r>
      <w:proofErr w:type="spellStart"/>
      <w:r>
        <w:rPr>
          <w:rFonts w:ascii="Times New Roman" w:eastAsia="Times New Roman" w:hAnsi="Times New Roman" w:cs="Times New Roman"/>
          <w:color w:val="000000"/>
          <w:sz w:val="28"/>
          <w:szCs w:val="28"/>
          <w:lang w:eastAsia="ru-RU"/>
        </w:rPr>
        <w:t>қозғалтқыштарды</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ауыстыру</w:t>
      </w:r>
      <w:proofErr w:type="spellEnd"/>
      <w:r>
        <w:rPr>
          <w:rFonts w:ascii="Times New Roman" w:eastAsia="Times New Roman" w:hAnsi="Times New Roman" w:cs="Times New Roman"/>
          <w:color w:val="000000"/>
          <w:sz w:val="28"/>
          <w:szCs w:val="28"/>
          <w:lang w:val="kk-KZ" w:eastAsia="ru-RU"/>
        </w:rPr>
        <w:t>да,</w:t>
      </w:r>
      <w:r>
        <w:rPr>
          <w:rFonts w:ascii="Times New Roman" w:eastAsia="Times New Roman" w:hAnsi="Times New Roman" w:cs="Times New Roman"/>
          <w:color w:val="000000"/>
          <w:sz w:val="28"/>
          <w:szCs w:val="28"/>
          <w:lang w:eastAsia="ru-RU"/>
        </w:rPr>
        <w:t> </w:t>
      </w:r>
      <w:proofErr w:type="spellStart"/>
      <w:r>
        <w:rPr>
          <w:rFonts w:ascii="Times New Roman" w:eastAsia="Times New Roman" w:hAnsi="Times New Roman" w:cs="Times New Roman"/>
          <w:color w:val="000000"/>
          <w:sz w:val="28"/>
          <w:szCs w:val="28"/>
          <w:lang w:eastAsia="ru-RU"/>
        </w:rPr>
        <w:t>жаңа</w:t>
      </w:r>
      <w:proofErr w:type="spellEnd"/>
      <w:r>
        <w:rPr>
          <w:rFonts w:ascii="Times New Roman" w:eastAsia="Times New Roman" w:hAnsi="Times New Roman" w:cs="Times New Roman"/>
          <w:color w:val="000000"/>
          <w:sz w:val="28"/>
          <w:szCs w:val="28"/>
          <w:lang w:eastAsia="ru-RU"/>
        </w:rPr>
        <w:t xml:space="preserve"> </w:t>
      </w:r>
      <w:proofErr w:type="spellStart"/>
      <w:r>
        <w:rPr>
          <w:rFonts w:ascii="Times New Roman" w:eastAsia="Times New Roman" w:hAnsi="Times New Roman" w:cs="Times New Roman"/>
          <w:color w:val="000000"/>
          <w:sz w:val="28"/>
          <w:szCs w:val="28"/>
          <w:lang w:eastAsia="ru-RU"/>
        </w:rPr>
        <w:t>күштеп</w:t>
      </w:r>
      <w:proofErr w:type="spellEnd"/>
      <w:r>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color w:val="000000"/>
          <w:sz w:val="28"/>
          <w:szCs w:val="28"/>
          <w:lang w:val="kk-KZ" w:eastAsia="ru-RU"/>
        </w:rPr>
        <w:t>жетектерді </w:t>
      </w:r>
      <w:proofErr w:type="spellStart"/>
      <w:r>
        <w:rPr>
          <w:rFonts w:ascii="Times New Roman" w:eastAsia="Times New Roman" w:hAnsi="Times New Roman" w:cs="Times New Roman"/>
          <w:color w:val="000000"/>
          <w:sz w:val="28"/>
          <w:szCs w:val="28"/>
          <w:lang w:eastAsia="ru-RU"/>
        </w:rPr>
        <w:t>жобалауда</w:t>
      </w:r>
      <w:proofErr w:type="spellEnd"/>
      <w:r>
        <w:rPr>
          <w:rFonts w:ascii="Times New Roman" w:eastAsia="Times New Roman" w:hAnsi="Times New Roman" w:cs="Times New Roman"/>
          <w:color w:val="000000"/>
          <w:sz w:val="28"/>
          <w:szCs w:val="28"/>
          <w:lang w:eastAsia="ru-RU"/>
        </w:rPr>
        <w:t> </w:t>
      </w:r>
      <w:proofErr w:type="gramStart"/>
      <w:r>
        <w:rPr>
          <w:rFonts w:ascii="Times New Roman" w:eastAsia="Times New Roman" w:hAnsi="Times New Roman" w:cs="Times New Roman"/>
          <w:color w:val="000000"/>
          <w:sz w:val="28"/>
          <w:szCs w:val="28"/>
          <w:lang w:val="kk-KZ" w:eastAsia="ru-RU"/>
        </w:rPr>
        <w:t>П</w:t>
      </w:r>
      <w:proofErr w:type="gramEnd"/>
      <w:r>
        <w:rPr>
          <w:rFonts w:ascii="Times New Roman" w:eastAsia="Times New Roman" w:hAnsi="Times New Roman" w:cs="Times New Roman"/>
          <w:color w:val="000000"/>
          <w:sz w:val="28"/>
          <w:szCs w:val="28"/>
          <w:lang w:val="kk-KZ" w:eastAsia="ru-RU"/>
        </w:rPr>
        <w:t>ӘК-нің жоғары болуына мән беріледі;</w:t>
      </w:r>
    </w:p>
    <w:p w:rsidR="003C127E" w:rsidRDefault="003C127E" w:rsidP="003C127E">
      <w:pPr>
        <w:spacing w:after="0" w:line="240" w:lineRule="auto"/>
        <w:ind w:firstLine="709"/>
        <w:jc w:val="both"/>
        <w:rPr>
          <w:rFonts w:ascii="Calibri" w:eastAsia="Times New Roman" w:hAnsi="Calibri" w:cs="Calibri"/>
          <w:color w:val="000000"/>
          <w:lang w:eastAsia="ru-RU"/>
        </w:rPr>
      </w:pPr>
      <w:r>
        <w:rPr>
          <w:rFonts w:ascii="Times New Roman" w:eastAsia="Times New Roman" w:hAnsi="Times New Roman" w:cs="Times New Roman"/>
          <w:color w:val="000000"/>
          <w:sz w:val="28"/>
          <w:szCs w:val="28"/>
          <w:lang w:val="kk-KZ" w:eastAsia="ru-RU"/>
        </w:rPr>
        <w:t>5. Кернеу сапасын қадағалау қажет;</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6. Құрылғыларды таңдау кезінде оның өнiмдiлiгі жоғары болған сайын, өнім бірлігіне сәйкес келетін энергияда соншалықты аз шығындалатындығына мән беру керек..  Бiрнеше аз агрегатқа қарағанда  бiр үлкен агрегат әрқашан үнемдiрек;</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7. Автоматикалық реттеулердi, бос жүрiстiң шектегiштерiн және т.б.  қондыру жолымен энергия сыйымды агрегаттарды электр қозғағыш жолымен жетiлдiру;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8. Есептеу бойынша жүйелердi енгiзу және энергиялық тиiмдi объект құруда жылу берудi реттеу.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lastRenderedPageBreak/>
        <w:t>Сәулетшiлiк - Орналастыру  және Көлемдi-Орналастыру шешімдерді әзірлеуде кешенді пайдалануды қажет ететін энергия үнемдеудiң төңiрегiндегі мемлекеттiк саясаттың негiзгi бағыты: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өндiрiс режiмдерiн оңтайландыру және электр қуатының және жылу тұтынуы мен тасымалдаудың, оларды есептеуұйымдары және шығындарды бақылау;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өнеркәсiптiк кәсiпорындардағы, мекемелердегі энергетикалық тиiмдiлiктi тексерудiң ұйымы;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шығарылатын өнiмнiң, қолданыстағы және қайта құрылатын объекттің,  технология және жабдықтың энергия үнемділігінің сараптамасын жүргiзу;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қайталама энергетика ресурстарды және өндiрiс қалдықтарын пайдаға асыру;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энергиялық тиiмдi техникалар мен өнімдерді, алдыңғы қатарлы жаңа технологиялар енгiзу бойынша жобаларды өткiзу;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энергия  тиіімділігі мен энергия үнемдеу төңірегінде жаңа басқару тәсілдерін және ғылыми зерттеулерді енгізу;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жанармай және энергетика ресурстар олардыңның өндiрілуi, өзгерту, тасымалдауда, сақтауда және тұтынуда шығындарды қысқарту;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жiберiлетiн және жұмсалатын энергетика ресурстарды есептеудiң бiр бөлiгiндегі өлшемнің дәлдiгін, анықтықғын қамтамасыз ету;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энергетика ресурстарды сақтауды қамтамасыз ететiн жаңа және жетілдірілген, қолданыстағы құрылыс мөлшерi мен ережелерiн енгізу;</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мұндай жүрісті өткiзу маңызды аралық және қосалқы нәтижелерді алуға  мүмкiндiк бередi;</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зиянды заттардың концентрациясы және зиянды шығуарылымдарын төмендету бойынша жабдықтандыруда қосымша шығынның пайызы және энергия өндіретін және энергия тұтынатын технологиялардың қоршаған ортаға әсері төмендейді </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халықтың тұрмыс деңгейін жоғарылатуға бағыттауы мүмкін энергетикалық өндiрiстi кеңейту мен қайта жаңарту үшін елеулi инвестициялық ресурстарбосап шығады;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энергетикалық ресурстардың босатылуының есебінен энергия өндіретін және энергия тарататын салалардың экспорттық әлеуеті жоғарылайды;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өндiрiстiң шығынының өсуі шектелетін болса және энергия жеткізуде халықтың шығыстары азайса, онда энергетикалық тасымалдағыштарға бағаның көтерiлуiнен қаржылық дағдарыс пен инфляциялық әсер қалпына келеді;</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қалпына келмейтін отын және энергетикалық ресурстардың ұлттық қорын қолданудың мерзімі ұзартылады;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14"/>
          <w:szCs w:val="14"/>
          <w:lang w:val="kk-KZ" w:eastAsia="ru-RU"/>
        </w:rPr>
        <w:t>                     </w:t>
      </w:r>
      <w:r>
        <w:rPr>
          <w:rFonts w:ascii="Times New Roman" w:eastAsia="Times New Roman" w:hAnsi="Times New Roman" w:cs="Times New Roman"/>
          <w:color w:val="000000"/>
          <w:sz w:val="28"/>
          <w:szCs w:val="28"/>
          <w:lang w:val="kk-KZ" w:eastAsia="ru-RU"/>
        </w:rPr>
        <w:t>өнеркәсiптiң инвестицияларының есебiнен отандық энергия үнемдеу және энергиялық тиiмдi жабдықтардың технологиялық деңгейi жоғарылайды.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lastRenderedPageBreak/>
        <w:t>Энергия үнемдеу тиімділігінің бірінші кезеңінде процестердің жүруі  электр қуатының және жылу тұтынуын бақылау мен мөлшерлеу, есептеу жүйесіне жаппай енгізілу есебінен қол жеткізілуі мүмкін.  Осының нтәижесінде электр тұтыну ғана емес, тұтынушылардың мүдделілігі және оған баса назар аударуы бұл мәселенің шешіміне практикалық түрде араласуының есебінен төмендейді, және де  оның жауапкершiлiгiнiң жоғарылауы мен энергетикалық ресурстардың барлық түрінің рационалды шығындалу мәселесіне барынша жауапты қарым – қатынасы әсер етеді. </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Жылу шығының және электр энергиясын есептеуіш құралдарын орнату айтарлықтай шығынды қажет етпейді. Дегенмен тұтынушылардың төлем құнының төмендеуі оған берілетін қызмет есебінен қондырғыдағы шығынның орны толтырылады және келесі есептеу құралдарын тексеру өте тез болады.</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Отын және энергетикалық ресурстарды тұтынатын обьект құрылысының жобасында, соның ішінде тұрғын үйлер, электр энергиясының және жылудың шығындарының есептеуіштерін, ыстық және салқын су есептеуіштерін, сонымен қатар тиісті құралдар - жылыту жүйелеріндегі реттегіщтерді  қондыру қарастырылуы қажет.</w:t>
      </w:r>
    </w:p>
    <w:p w:rsidR="003C127E" w:rsidRDefault="003C127E" w:rsidP="003C127E">
      <w:pPr>
        <w:spacing w:after="0" w:line="240" w:lineRule="auto"/>
        <w:ind w:firstLine="709"/>
        <w:jc w:val="both"/>
        <w:rPr>
          <w:rFonts w:ascii="Calibri" w:eastAsia="Times New Roman" w:hAnsi="Calibri" w:cs="Calibri"/>
          <w:color w:val="000000"/>
          <w:lang w:val="kk-KZ" w:eastAsia="ru-RU"/>
        </w:rPr>
      </w:pPr>
      <w:r>
        <w:rPr>
          <w:rFonts w:ascii="Times New Roman" w:eastAsia="Times New Roman" w:hAnsi="Times New Roman" w:cs="Times New Roman"/>
          <w:color w:val="000000"/>
          <w:sz w:val="28"/>
          <w:szCs w:val="28"/>
          <w:lang w:val="kk-KZ" w:eastAsia="ru-RU"/>
        </w:rPr>
        <w:t>Көрсетілген  құралдарсыз мен есептеу жүйесі және отын мен энергетикалық ресурстардың шығындары реттелмеген жаңа құрылыс обьектісін пайдалануға рұқсат етілмейді.</w:t>
      </w:r>
    </w:p>
    <w:p w:rsidR="00D51684" w:rsidRPr="003C127E" w:rsidRDefault="003C127E" w:rsidP="003C127E">
      <w:pPr>
        <w:rPr>
          <w:lang w:val="kk-KZ"/>
        </w:rPr>
      </w:pPr>
      <w:r>
        <w:rPr>
          <w:rFonts w:ascii="Times New Roman" w:eastAsia="Times New Roman" w:hAnsi="Times New Roman" w:cs="Times New Roman"/>
          <w:color w:val="000000"/>
          <w:sz w:val="28"/>
          <w:szCs w:val="28"/>
          <w:lang w:val="kk-KZ" w:eastAsia="ru-RU"/>
        </w:rPr>
        <w:t>Энергияны үнемдеудің екінші кезеңінде На втором этапе энергосбережения өндірушілер, көлiк ұйымдары мен энергия тұтынушылар технологиялық үдерiстi жетiлдiру мақсатында инвестиция салады. Бұл екі кезеңде энергияны тұтынуды 30 %-ға дейін төмендетуге мүмкіндік береді және жаңа энергетикалық қуаттардың құрылымын енгізуге қарағанда барынша тиімді болып келеді.</w:t>
      </w:r>
    </w:p>
    <w:sectPr w:rsidR="00D51684" w:rsidRPr="003C12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7DF"/>
    <w:rsid w:val="000557DF"/>
    <w:rsid w:val="003C127E"/>
    <w:rsid w:val="004D6066"/>
    <w:rsid w:val="00745D32"/>
    <w:rsid w:val="00D516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127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127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3297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2056</Words>
  <Characters>11723</Characters>
  <Application>Microsoft Office Word</Application>
  <DocSecurity>0</DocSecurity>
  <Lines>97</Lines>
  <Paragraphs>27</Paragraphs>
  <ScaleCrop>false</ScaleCrop>
  <Company/>
  <LinksUpToDate>false</LinksUpToDate>
  <CharactersWithSpaces>13752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Дуйсембаева</dc:creator>
  <cp:keywords/>
  <dc:description/>
  <cp:lastModifiedBy>Гульнур Дуйсембаева</cp:lastModifiedBy>
  <cp:revision>2</cp:revision>
  <dcterms:created xsi:type="dcterms:W3CDTF">2020-03-14T06:17:00Z</dcterms:created>
  <dcterms:modified xsi:type="dcterms:W3CDTF">2020-03-14T06:17:00Z</dcterms:modified>
</cp:coreProperties>
</file>